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53ACF177" w14:textId="77777777" w:rsidR="004260ED" w:rsidRDefault="004260ED" w:rsidP="004260E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260ED">
        <w:rPr>
          <w:rFonts w:asciiTheme="majorBidi" w:hAnsiTheme="majorBidi" w:cstheme="majorBidi"/>
          <w:b/>
          <w:bCs/>
          <w:sz w:val="24"/>
          <w:szCs w:val="24"/>
        </w:rPr>
        <w:t>Risk Assessment and Management Decisions</w:t>
      </w:r>
    </w:p>
    <w:p w14:paraId="01322169" w14:textId="29238B8A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CA0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4764" w14:textId="77777777" w:rsidR="00CA0AC7" w:rsidRDefault="00CA0AC7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33E3EAC5" w14:textId="77777777" w:rsidR="00CA0AC7" w:rsidRDefault="00CA0AC7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267D" w14:textId="77777777" w:rsidR="00CA0AC7" w:rsidRDefault="00CA0AC7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76F7CBA2" w14:textId="77777777" w:rsidR="00CA0AC7" w:rsidRDefault="00CA0AC7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260ED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A0AC7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1387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2024-07-01T12:14:00Z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